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b w:val="1"/>
          <w:bCs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RİSK DEĞERLENDİRME VE YÖNETİM FORMU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76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BÖLÜM 1: ARAŞTIRMA BİLGİLERİ</w:t>
      </w:r>
    </w:p>
    <w:p w:rsidR="00000000" w:rsidDel="00000000" w:rsidP="00000000" w:rsidRDefault="00000000" w:rsidRPr="00000000" w14:paraId="00000003">
      <w:pPr>
        <w:spacing w:before="24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Araştırmanın Başlığı: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Araştırmanın Türü: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Araştırmanın Amacı ve Kısa Özeti:</w:t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Araştırmanın Yöntemi:</w:t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Veri Toplama Araçları: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left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BÖLÜM 1: RİSK HESAPLAMA MATRİSİ</w:t>
      </w:r>
    </w:p>
    <w:p w:rsidR="00000000" w:rsidDel="00000000" w:rsidP="00000000" w:rsidRDefault="00000000" w:rsidRPr="00000000" w14:paraId="0000000D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Lütfen aşağıdaki puanlama sistemini kullanarak tablodaki O (Olasılık) ve Ş (Şiddet) sütunlarını doldurunuz.</w:t>
      </w:r>
    </w:p>
    <w:p w:rsidR="00000000" w:rsidDel="00000000" w:rsidP="00000000" w:rsidRDefault="00000000" w:rsidRPr="00000000" w14:paraId="0000000E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Risk Değeri (R) = Olasılık (O) x Şiddet (Ş)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Tablodaki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O (Olasılık)</w:t>
      </w:r>
      <w:r w:rsidDel="00000000" w:rsidR="00000000" w:rsidRPr="00000000">
        <w:rPr>
          <w:color w:val="1f1f1f"/>
          <w:rtl w:val="0"/>
        </w:rPr>
        <w:t xml:space="preserve"> ve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Ş (Şiddet)</w:t>
      </w:r>
      <w:r w:rsidDel="00000000" w:rsidR="00000000" w:rsidRPr="00000000">
        <w:rPr>
          <w:color w:val="1f1f1f"/>
          <w:rtl w:val="0"/>
        </w:rPr>
        <w:t xml:space="preserve"> sütunları doldurulurken aşağıdaki standart tanımlar kullanılmalıdır.</w:t>
      </w:r>
    </w:p>
    <w:p w:rsidR="00000000" w:rsidDel="00000000" w:rsidP="00000000" w:rsidRDefault="00000000" w:rsidRPr="00000000" w14:paraId="00000010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1. OLASILIK (Gerçekleşme Sıklığı Kriterleri)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5 Puan (Çok Olası):</w:t>
      </w:r>
      <w:r w:rsidDel="00000000" w:rsidR="00000000" w:rsidRPr="00000000">
        <w:rPr>
          <w:color w:val="1f1f1f"/>
          <w:rtl w:val="0"/>
        </w:rPr>
        <w:t xml:space="preserve"> Risk tekrar tekrar ortaya çıkacaktır. Her 20–100 işlemde bir, düzenli olarak yapılıyorsa, haftada bir veya daha sık olarak rutin olarak beklenebilir.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4 Puan (Muhtemel):</w:t>
      </w:r>
      <w:r w:rsidDel="00000000" w:rsidR="00000000" w:rsidRPr="00000000">
        <w:rPr>
          <w:color w:val="1f1f1f"/>
          <w:rtl w:val="0"/>
        </w:rPr>
        <w:t xml:space="preserve"> Yılda birkaç kez meydana gelir, bu nedenle meydana geldiğinde şaşırtıcı değildir.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3 Puan (Olası):</w:t>
      </w:r>
      <w:r w:rsidDel="00000000" w:rsidR="00000000" w:rsidRPr="00000000">
        <w:rPr>
          <w:color w:val="1f1f1f"/>
          <w:rtl w:val="0"/>
        </w:rPr>
        <w:t xml:space="preserve"> Bazen meydana gelebilir. Yılda bir kez meydana gelme olasılığı yüksektir.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2 Puan (Olasılığı Düşük):</w:t>
      </w:r>
      <w:r w:rsidDel="00000000" w:rsidR="00000000" w:rsidRPr="00000000">
        <w:rPr>
          <w:color w:val="1f1f1f"/>
          <w:rtl w:val="0"/>
        </w:rPr>
        <w:t xml:space="preserve"> Ancak belki 10 ila 100 yılda bir meydana gelebilir.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1 Puan (Çok Düşük):</w:t>
      </w:r>
      <w:r w:rsidDel="00000000" w:rsidR="00000000" w:rsidRPr="00000000">
        <w:rPr>
          <w:color w:val="1f1f1f"/>
          <w:rtl w:val="0"/>
        </w:rPr>
        <w:t xml:space="preserve"> Gerçekleşme olasılığı çok düşük. Olasılık sıfıra yakın.</w:t>
      </w:r>
    </w:p>
    <w:p w:rsidR="00000000" w:rsidDel="00000000" w:rsidP="00000000" w:rsidRDefault="00000000" w:rsidRPr="00000000" w14:paraId="00000016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2. CİDDİYET (Sonucun Ağırlığı Kriterleri)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5 Puan (Ölümcül):</w:t>
      </w:r>
      <w:r w:rsidDel="00000000" w:rsidR="00000000" w:rsidRPr="00000000">
        <w:rPr>
          <w:color w:val="1f1f1f"/>
          <w:rtl w:val="0"/>
        </w:rPr>
        <w:t xml:space="preserve"> Bir çalışanın ölümü veya birden fazla ölüm.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4 Puan (Ciddi Yaralanma):</w:t>
      </w:r>
      <w:r w:rsidDel="00000000" w:rsidR="00000000" w:rsidRPr="00000000">
        <w:rPr>
          <w:color w:val="1f1f1f"/>
          <w:rtl w:val="0"/>
        </w:rPr>
        <w:t xml:space="preserve"> Kalıcı sakatlık, ciddi uzuv kaybı, örneğin el kaybı.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3 Puan (Orta Derecede Yaralanma):</w:t>
      </w:r>
      <w:r w:rsidDel="00000000" w:rsidR="00000000" w:rsidRPr="00000000">
        <w:rPr>
          <w:color w:val="1f1f1f"/>
          <w:rtl w:val="0"/>
        </w:rPr>
        <w:t xml:space="preserve"> Örneğin ciddi haşlanma veya yanık, kırık, küçük uzuv kaybı, geçici yaralanma veya bilinç kaybı. Kuruma (HSE vb.) üç günlük iş gücü kaybı (çalışanın 3 günden fazla normal çalışamayacak durumda olması) veya ciddi yaralanma olarak bildirilebilir düzeyde.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2 Puan (Hafif Yaralanma):</w:t>
      </w:r>
      <w:r w:rsidDel="00000000" w:rsidR="00000000" w:rsidRPr="00000000">
        <w:rPr>
          <w:color w:val="1f1f1f"/>
          <w:rtl w:val="0"/>
        </w:rPr>
        <w:t xml:space="preserve"> Tedavi sonrasında işe dönüşün hemen mümkün olmadığı daha ciddi kesik, burkulma, incinme, yanık vb. 3 günden az iş gücü kaybı olabilir.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240" w:line="276" w:lineRule="auto"/>
        <w:ind w:left="720" w:hanging="360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1 Puan (Yaralanma Yok veya Çok Hafif):</w:t>
      </w:r>
      <w:r w:rsidDel="00000000" w:rsidR="00000000" w:rsidRPr="00000000">
        <w:rPr>
          <w:color w:val="1f1f1f"/>
          <w:rtl w:val="0"/>
        </w:rPr>
        <w:t xml:space="preserve"> İlk yardım tedavisi sonrasında işe dönüşe izin veren çizik, çürük, çarpma, hafif kesik, iğne batması vb. Kayıp zaman yaşanmaz.</w:t>
      </w:r>
    </w:p>
    <w:p w:rsidR="00000000" w:rsidDel="00000000" w:rsidP="00000000" w:rsidRDefault="00000000" w:rsidRPr="00000000" w14:paraId="0000001C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40" w:line="276" w:lineRule="auto"/>
        <w:jc w:val="left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BÖLÜM 2: RİSK DEĞERLENDİRME TABLOSU</w:t>
      </w:r>
    </w:p>
    <w:tbl>
      <w:tblPr>
        <w:tblStyle w:val="Table1"/>
        <w:tblW w:w="9375.0" w:type="dxa"/>
        <w:jc w:val="left"/>
        <w:tblLayout w:type="fixed"/>
        <w:tblLook w:val="0400"/>
      </w:tblPr>
      <w:tblGrid>
        <w:gridCol w:w="1050"/>
        <w:gridCol w:w="1005"/>
        <w:gridCol w:w="1200"/>
        <w:gridCol w:w="1005"/>
        <w:gridCol w:w="975"/>
        <w:gridCol w:w="915"/>
        <w:gridCol w:w="1110"/>
        <w:gridCol w:w="2115"/>
        <w:tblGridChange w:id="0">
          <w:tblGrid>
            <w:gridCol w:w="1050"/>
            <w:gridCol w:w="1005"/>
            <w:gridCol w:w="1200"/>
            <w:gridCol w:w="1005"/>
            <w:gridCol w:w="975"/>
            <w:gridCol w:w="915"/>
            <w:gridCol w:w="1110"/>
            <w:gridCol w:w="2115"/>
          </w:tblGrid>
        </w:tblGridChange>
      </w:tblGrid>
      <w:tr>
        <w:trPr>
          <w:cantSplit w:val="0"/>
          <w:trHeight w:val="10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Faaliyet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Tehlike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Etkilenen Kişiler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Olasılık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Şiddet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Risk Değeri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Riskin Tanımı*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Yapılması Gereken Düzenleyici/Önleyici Faaliyet</w:t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606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*Risk Tanımları: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Yeterli (Y):</w:t>
            </w:r>
            <w:r w:rsidDel="00000000" w:rsidR="00000000" w:rsidRPr="00000000">
              <w:rPr>
                <w:color w:val="000000"/>
                <w:rtl w:val="0"/>
              </w:rPr>
              <w:t xml:space="preserve"> Risk yeterince kontrol altındadır, başka önlem alınması gerekmez.</w:t>
            </w:r>
          </w:p>
          <w:p w:rsidR="00000000" w:rsidDel="00000000" w:rsidP="00000000" w:rsidRDefault="00000000" w:rsidRPr="00000000" w14:paraId="00000060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Makul Risk (M):</w:t>
            </w:r>
            <w:r w:rsidDel="00000000" w:rsidR="00000000" w:rsidRPr="00000000">
              <w:rPr>
                <w:color w:val="000000"/>
                <w:rtl w:val="0"/>
              </w:rPr>
              <w:t xml:space="preserve"> Mevcut risk seviyesi kabul edilebilir düzeydedir.</w:t>
            </w:r>
          </w:p>
          <w:p w:rsidR="00000000" w:rsidDel="00000000" w:rsidP="00000000" w:rsidRDefault="00000000" w:rsidRPr="00000000" w14:paraId="00000061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Kabul Edilemez Risk (K):</w:t>
            </w:r>
            <w:r w:rsidDel="00000000" w:rsidR="00000000" w:rsidRPr="00000000">
              <w:rPr>
                <w:color w:val="000000"/>
                <w:rtl w:val="0"/>
              </w:rPr>
              <w:t xml:space="preserve"> Risk yeterince kontrol altında değildir, acil önlem alınması gerekir.</w:t>
            </w:r>
          </w:p>
          <w:p w:rsidR="00000000" w:rsidDel="00000000" w:rsidP="00000000" w:rsidRDefault="00000000" w:rsidRPr="00000000" w14:paraId="00000062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Belirsiz (B):</w:t>
            </w:r>
            <w:r w:rsidDel="00000000" w:rsidR="00000000" w:rsidRPr="00000000">
              <w:rPr>
                <w:color w:val="000000"/>
                <w:rtl w:val="0"/>
              </w:rPr>
              <w:t xml:space="preserve"> Karar verilemiyor (daha fazla bilgi/inceleme gerekir).</w:t>
            </w:r>
          </w:p>
        </w:tc>
      </w:tr>
    </w:tbl>
    <w:p w:rsidR="00000000" w:rsidDel="00000000" w:rsidP="00000000" w:rsidRDefault="00000000" w:rsidRPr="00000000" w14:paraId="0000006A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240" w:line="276" w:lineRule="auto"/>
        <w:jc w:val="left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BÖLÜM 3: EYLEM PLANI (Risk Yönetimi)</w:t>
      </w:r>
    </w:p>
    <w:p w:rsidR="00000000" w:rsidDel="00000000" w:rsidP="00000000" w:rsidRDefault="00000000" w:rsidRPr="00000000" w14:paraId="0000006C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(Tabloda "Kabul Edilemez Risk (K) ve Belirsiz (B) riskler minimize etmek için alacağınız önlemleri detaylı olarak açıklayın.) </w:t>
      </w:r>
    </w:p>
    <w:p w:rsidR="00000000" w:rsidDel="00000000" w:rsidP="00000000" w:rsidRDefault="00000000" w:rsidRPr="00000000" w14:paraId="0000006D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240" w:line="276" w:lineRule="auto"/>
        <w:jc w:val="left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ONAY</w:t>
      </w:r>
    </w:p>
    <w:p w:rsidR="00000000" w:rsidDel="00000000" w:rsidP="00000000" w:rsidRDefault="00000000" w:rsidRPr="00000000" w14:paraId="00000073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formdaki riskleri değerlendirdim ve belirtilen kontrol önlemlerine harfiyen uyacağımı taahhüt ederim.</w:t>
      </w:r>
    </w:p>
    <w:p w:rsidR="00000000" w:rsidDel="00000000" w:rsidP="00000000" w:rsidRDefault="00000000" w:rsidRPr="00000000" w14:paraId="00000074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.../.../20...</w:t>
      </w:r>
    </w:p>
    <w:p w:rsidR="00000000" w:rsidDel="00000000" w:rsidP="00000000" w:rsidRDefault="00000000" w:rsidRPr="00000000" w14:paraId="00000075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Araştırmacı: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İmza:</w:t>
      </w:r>
      <w:r w:rsidDel="00000000" w:rsidR="00000000" w:rsidRPr="00000000">
        <w:rPr>
          <w:color w:val="1f1f1f"/>
          <w:rtl w:val="0"/>
        </w:rPr>
        <w:t xml:space="preserve">  </w:t>
      </w:r>
    </w:p>
    <w:p w:rsidR="00000000" w:rsidDel="00000000" w:rsidP="00000000" w:rsidRDefault="00000000" w:rsidRPr="00000000" w14:paraId="00000077">
      <w:pPr>
        <w:spacing w:after="0" w:before="240" w:line="276" w:lineRule="auto"/>
        <w:jc w:val="left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Danışman (Varsa):  </w:t>
      </w:r>
    </w:p>
    <w:p w:rsidR="00000000" w:rsidDel="00000000" w:rsidP="00000000" w:rsidRDefault="00000000" w:rsidRPr="00000000" w14:paraId="00000078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İmza:</w:t>
      </w:r>
      <w:r w:rsidDel="00000000" w:rsidR="00000000" w:rsidRPr="00000000">
        <w:rPr>
          <w:color w:val="1f1f1f"/>
          <w:rtl w:val="0"/>
        </w:rPr>
        <w:t xml:space="preserve"> </w:t>
      </w:r>
    </w:p>
    <w:sectPr>
      <w:headerReference r:id="rId6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30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75560" cy="746760"/>
          <wp:effectExtent b="0" l="0" r="0" t="0"/>
          <wp:docPr descr="logo, grafik, simge, sembol, yazı tipi içeren bir resim&#10;&#10;Yapay zeka tarafından oluşturulmuş içerik yanlış olabilir." id="1" name="image1.png"/>
          <a:graphic>
            <a:graphicData uri="http://schemas.openxmlformats.org/drawingml/2006/picture">
              <pic:pic>
                <pic:nvPicPr>
                  <pic:cNvPr descr="logo, grafik, simge, sembol, yazı tipi içeren bir resim&#10;&#10;Yapay zeka tarafından oluşturulmuş içerik yanlış olabilir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5560" cy="74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